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color="auto" w:fill="FFFFFF"/>
        <w:spacing w:before="75" w:beforeAutospacing="0" w:after="75" w:afterAutospacing="0" w:line="450" w:lineRule="atLeast"/>
        <w:ind w:left="0" w:right="0"/>
        <w:jc w:val="center"/>
        <w:rPr>
          <w:rStyle w:val="5"/>
          <w:rFonts w:hint="eastAsia" w:ascii="宋体" w:hAnsi="宋体" w:eastAsia="宋体" w:cs="宋体"/>
          <w:color w:val="333333"/>
          <w:sz w:val="36"/>
          <w:szCs w:val="36"/>
          <w:shd w:val="clear" w:color="auto" w:fill="FFFFFF"/>
        </w:rPr>
      </w:pPr>
      <w:r>
        <w:rPr>
          <w:rFonts w:hint="eastAsia" w:ascii="宋体" w:hAnsi="宋体" w:eastAsia="宋体" w:cs="宋体"/>
          <w:b/>
          <w:bCs/>
          <w:i w:val="0"/>
          <w:iCs w:val="0"/>
          <w:caps w:val="0"/>
          <w:color w:val="333333"/>
          <w:spacing w:val="0"/>
          <w:kern w:val="0"/>
          <w:sz w:val="44"/>
          <w:szCs w:val="44"/>
          <w:shd w:val="clear" w:fill="FFFFFF"/>
          <w:lang w:val="en-US" w:eastAsia="zh-CN" w:bidi="ar"/>
        </w:rPr>
        <w:t>董家镇2022年政府信息公开工作年度报告</w:t>
      </w:r>
    </w:p>
    <w:p>
      <w:pPr>
        <w:pStyle w:val="2"/>
        <w:keepNext w:val="0"/>
        <w:keepLines w:val="0"/>
        <w:widowControl/>
        <w:suppressLineNumbers w:val="0"/>
        <w:shd w:val="clear" w:color="auto" w:fill="FFFFFF"/>
        <w:spacing w:before="75" w:beforeAutospacing="0" w:after="75" w:afterAutospacing="0" w:line="450" w:lineRule="atLeast"/>
        <w:ind w:left="0" w:right="0"/>
        <w:jc w:val="center"/>
        <w:rPr>
          <w:rStyle w:val="5"/>
          <w:rFonts w:hint="eastAsia" w:ascii="宋体" w:hAnsi="宋体" w:eastAsia="宋体" w:cs="宋体"/>
          <w:color w:val="333333"/>
          <w:sz w:val="36"/>
          <w:szCs w:val="36"/>
          <w:shd w:val="clear" w:color="auto" w:fill="FFFFFF"/>
        </w:rPr>
      </w:pPr>
    </w:p>
    <w:p>
      <w:pPr>
        <w:pStyle w:val="2"/>
        <w:keepNext w:val="0"/>
        <w:keepLines w:val="0"/>
        <w:widowControl/>
        <w:suppressLineNumbers w:val="0"/>
        <w:shd w:val="clear" w:color="auto" w:fill="FFFFFF"/>
        <w:spacing w:before="75" w:beforeAutospacing="0" w:after="75" w:afterAutospacing="0" w:line="450" w:lineRule="atLeast"/>
        <w:ind w:left="0" w:right="0" w:firstLine="645"/>
        <w:rPr>
          <w:rStyle w:val="5"/>
          <w:rFonts w:hint="eastAsia" w:ascii="仿宋_GB2312" w:hAnsi="仿宋_GB2312" w:eastAsia="仿宋_GB2312" w:cs="仿宋_GB2312"/>
          <w:color w:val="auto"/>
          <w:sz w:val="31"/>
          <w:szCs w:val="31"/>
          <w:shd w:val="clear" w:color="auto" w:fill="FFFFFF"/>
          <w:lang w:val="en-US" w:eastAsia="zh-CN"/>
        </w:rPr>
      </w:pPr>
      <w:r>
        <w:rPr>
          <w:rFonts w:ascii="仿宋" w:hAnsi="仿宋" w:eastAsia="仿宋" w:cs="仿宋"/>
          <w:i w:val="0"/>
          <w:iCs w:val="0"/>
          <w:caps w:val="0"/>
          <w:color w:val="000000"/>
          <w:spacing w:val="0"/>
          <w:sz w:val="31"/>
          <w:szCs w:val="31"/>
          <w:shd w:val="clear" w:fill="FFFFFF"/>
        </w:rPr>
        <w:t>本年报根据《中华人民共和国政府信息公开条例》（国务院令</w:t>
      </w:r>
      <w:r>
        <w:rPr>
          <w:rFonts w:hint="eastAsia" w:ascii="仿宋" w:hAnsi="仿宋" w:eastAsia="仿宋" w:cs="仿宋"/>
          <w:i w:val="0"/>
          <w:iCs w:val="0"/>
          <w:caps w:val="0"/>
          <w:color w:val="000000"/>
          <w:spacing w:val="0"/>
          <w:sz w:val="31"/>
          <w:szCs w:val="31"/>
          <w:shd w:val="clear" w:fill="FFFFFF"/>
        </w:rPr>
        <w:t>711号）《国务院办公厅政府信息与政务公开办公室关于政府信息公开工作年度报告有关事项的通知》（国办公开办函[2019]60号）等相关文件要求，汇总本单位在丰城市政府网站、政府信息公开平台数据，由丰城市董家镇党政办公室编制，报告中所列数据统计期限自2022年1月1日至2022年12月31日止，并通过丰城市人民政府门户网站中“政府信息公开年报”栏目（网址</w:t>
      </w:r>
      <w:r>
        <w:rPr>
          <w:rFonts w:hint="eastAsia" w:ascii="仿宋" w:hAnsi="仿宋" w:eastAsia="仿宋" w:cs="仿宋"/>
          <w:i w:val="0"/>
          <w:iCs w:val="0"/>
          <w:caps w:val="0"/>
          <w:color w:val="000000"/>
          <w:spacing w:val="0"/>
          <w:sz w:val="31"/>
          <w:szCs w:val="31"/>
          <w:shd w:val="clear" w:fill="FFFFFF"/>
          <w:lang w:eastAsia="zh-CN"/>
        </w:rPr>
        <w:t>：</w:t>
      </w:r>
      <w:r>
        <w:rPr>
          <w:rFonts w:hint="eastAsia" w:ascii="仿宋" w:hAnsi="仿宋" w:eastAsia="仿宋" w:cs="仿宋"/>
          <w:i w:val="0"/>
          <w:iCs w:val="0"/>
          <w:caps w:val="0"/>
          <w:color w:val="000000"/>
          <w:spacing w:val="0"/>
          <w:sz w:val="31"/>
          <w:szCs w:val="31"/>
          <w:shd w:val="clear" w:fill="FFFFFF"/>
        </w:rPr>
        <w:t>http://www.jxfc.gov.cn/fcsrmzf/zfxxgkndbgc9/202301/88bc388167df4f678feed742d11862bf.shtml）等平台向社会主动公开，如对本年报有疑问，请与丰城市董家镇党政办公室联系（地址：</w:t>
      </w:r>
      <w:r>
        <w:rPr>
          <w:rFonts w:hint="eastAsia" w:ascii="仿宋" w:hAnsi="仿宋" w:eastAsia="仿宋" w:cs="仿宋"/>
          <w:i w:val="0"/>
          <w:iCs w:val="0"/>
          <w:caps w:val="0"/>
          <w:color w:val="333333"/>
          <w:spacing w:val="0"/>
          <w:sz w:val="31"/>
          <w:szCs w:val="31"/>
          <w:shd w:val="clear" w:fill="FFFFFF"/>
        </w:rPr>
        <w:t>江西省</w:t>
      </w:r>
      <w:r>
        <w:rPr>
          <w:rFonts w:hint="eastAsia" w:ascii="仿宋" w:hAnsi="仿宋" w:eastAsia="仿宋" w:cs="仿宋"/>
          <w:i w:val="0"/>
          <w:iCs w:val="0"/>
          <w:caps w:val="0"/>
          <w:color w:val="000000"/>
          <w:spacing w:val="0"/>
          <w:sz w:val="31"/>
          <w:szCs w:val="31"/>
          <w:shd w:val="clear" w:fill="FFFFFF"/>
        </w:rPr>
        <w:t>丰城市董家镇</w:t>
      </w:r>
      <w:r>
        <w:rPr>
          <w:rFonts w:hint="eastAsia" w:ascii="仿宋" w:hAnsi="仿宋" w:eastAsia="仿宋" w:cs="仿宋"/>
          <w:i w:val="0"/>
          <w:iCs w:val="0"/>
          <w:caps w:val="0"/>
          <w:color w:val="333333"/>
          <w:spacing w:val="0"/>
          <w:sz w:val="31"/>
          <w:szCs w:val="31"/>
          <w:shd w:val="clear" w:fill="FFFFFF"/>
        </w:rPr>
        <w:t>朝阳路63号董家镇人民政府二楼</w:t>
      </w:r>
      <w:r>
        <w:rPr>
          <w:rFonts w:hint="eastAsia" w:ascii="仿宋" w:hAnsi="仿宋" w:eastAsia="仿宋" w:cs="仿宋"/>
          <w:i w:val="0"/>
          <w:iCs w:val="0"/>
          <w:caps w:val="0"/>
          <w:color w:val="000000"/>
          <w:spacing w:val="0"/>
          <w:sz w:val="31"/>
          <w:szCs w:val="31"/>
          <w:shd w:val="clear" w:fill="FFFFFF"/>
        </w:rPr>
        <w:t>，电话：0795--6262166）。</w:t>
      </w:r>
    </w:p>
    <w:p>
      <w:pPr>
        <w:pStyle w:val="2"/>
        <w:keepNext w:val="0"/>
        <w:keepLines w:val="0"/>
        <w:widowControl/>
        <w:suppressLineNumbers w:val="0"/>
        <w:shd w:val="clear" w:color="auto" w:fill="FFFFFF"/>
        <w:spacing w:before="75" w:beforeAutospacing="0" w:after="75" w:afterAutospacing="0" w:line="450" w:lineRule="atLeast"/>
        <w:ind w:left="0" w:right="0" w:firstLine="645"/>
        <w:rPr>
          <w:rStyle w:val="5"/>
          <w:rFonts w:hint="eastAsia" w:ascii="仿宋_GB2312" w:hAnsi="仿宋_GB2312" w:eastAsia="仿宋_GB2312" w:cs="仿宋_GB2312"/>
          <w:color w:val="auto"/>
          <w:sz w:val="31"/>
          <w:szCs w:val="31"/>
          <w:shd w:val="clear" w:color="auto" w:fill="FFFFFF"/>
        </w:rPr>
      </w:pPr>
      <w:r>
        <w:rPr>
          <w:rStyle w:val="5"/>
          <w:rFonts w:hint="eastAsia" w:ascii="仿宋_GB2312" w:hAnsi="仿宋_GB2312" w:eastAsia="仿宋_GB2312" w:cs="仿宋_GB2312"/>
          <w:color w:val="auto"/>
          <w:sz w:val="31"/>
          <w:szCs w:val="31"/>
          <w:shd w:val="clear" w:color="auto" w:fill="FFFFFF"/>
          <w:lang w:val="en-US" w:eastAsia="zh-CN"/>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Arial"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color w:val="auto"/>
          <w:sz w:val="32"/>
          <w:szCs w:val="32"/>
          <w:shd w:val="clear" w:color="auto" w:fill="FFFFFF"/>
          <w:lang w:eastAsia="zh-CN"/>
        </w:rPr>
        <w:t>2022</w:t>
      </w:r>
      <w:r>
        <w:rPr>
          <w:rFonts w:hint="eastAsia" w:ascii="仿宋_GB2312" w:hAnsi="仿宋_GB2312" w:eastAsia="仿宋_GB2312" w:cs="仿宋_GB2312"/>
          <w:color w:val="auto"/>
          <w:sz w:val="32"/>
          <w:szCs w:val="32"/>
          <w:shd w:val="clear" w:color="auto" w:fill="FFFFFF"/>
        </w:rPr>
        <w:t>年，董家镇人民政府紧紧围绕增强工作透明度，促进依法行政、优质行政、廉洁行政的目标，进一步巩固政府公开成果，规范政府公开内容，创新政府公开形式，突出政府公开重点，提高政府公开水平，有力地促进了各项工作的开展，取得了明显的效果。根据《中华人民共和国政府信息公开条例》要求，</w:t>
      </w:r>
      <w:r>
        <w:rPr>
          <w:rFonts w:hint="default" w:ascii="仿宋_GB2312" w:hAnsi="Arial" w:eastAsia="仿宋_GB2312" w:cs="仿宋_GB2312"/>
          <w:i w:val="0"/>
          <w:caps w:val="0"/>
          <w:color w:val="000000"/>
          <w:spacing w:val="0"/>
          <w:kern w:val="0"/>
          <w:sz w:val="32"/>
          <w:szCs w:val="32"/>
          <w:shd w:val="clear" w:fill="FFFFFF"/>
          <w:lang w:val="en-US" w:eastAsia="zh-CN" w:bidi="ar"/>
        </w:rPr>
        <w:t>结合我</w:t>
      </w:r>
      <w:r>
        <w:rPr>
          <w:rFonts w:hint="eastAsia" w:ascii="仿宋_GB2312" w:hAnsi="Arial" w:eastAsia="仿宋_GB2312" w:cs="仿宋_GB2312"/>
          <w:i w:val="0"/>
          <w:caps w:val="0"/>
          <w:color w:val="000000"/>
          <w:spacing w:val="0"/>
          <w:kern w:val="0"/>
          <w:sz w:val="32"/>
          <w:szCs w:val="32"/>
          <w:shd w:val="clear" w:fill="FFFFFF"/>
          <w:lang w:val="en-US" w:eastAsia="zh-CN" w:bidi="ar"/>
        </w:rPr>
        <w:t>镇</w:t>
      </w:r>
      <w:r>
        <w:rPr>
          <w:rFonts w:hint="default" w:ascii="仿宋_GB2312" w:hAnsi="Arial" w:eastAsia="仿宋_GB2312" w:cs="仿宋_GB2312"/>
          <w:i w:val="0"/>
          <w:caps w:val="0"/>
          <w:color w:val="000000"/>
          <w:spacing w:val="0"/>
          <w:kern w:val="0"/>
          <w:sz w:val="32"/>
          <w:szCs w:val="32"/>
          <w:shd w:val="clear" w:fill="FFFFFF"/>
          <w:lang w:val="en-US" w:eastAsia="zh-CN" w:bidi="ar"/>
        </w:rPr>
        <w:t>的实际工作情况，现将我</w:t>
      </w:r>
      <w:r>
        <w:rPr>
          <w:rFonts w:hint="eastAsia" w:ascii="仿宋_GB2312" w:hAnsi="Arial" w:eastAsia="仿宋_GB2312" w:cs="仿宋_GB2312"/>
          <w:i w:val="0"/>
          <w:caps w:val="0"/>
          <w:color w:val="000000"/>
          <w:spacing w:val="0"/>
          <w:kern w:val="0"/>
          <w:sz w:val="32"/>
          <w:szCs w:val="32"/>
          <w:shd w:val="clear" w:fill="FFFFFF"/>
          <w:lang w:val="en-US" w:eastAsia="zh-CN" w:bidi="ar"/>
        </w:rPr>
        <w:t>镇</w:t>
      </w:r>
      <w:r>
        <w:rPr>
          <w:rFonts w:hint="default" w:ascii="仿宋_GB2312" w:hAnsi="Arial" w:eastAsia="仿宋_GB2312" w:cs="仿宋_GB2312"/>
          <w:i w:val="0"/>
          <w:caps w:val="0"/>
          <w:color w:val="000000"/>
          <w:spacing w:val="0"/>
          <w:kern w:val="0"/>
          <w:sz w:val="32"/>
          <w:szCs w:val="32"/>
          <w:shd w:val="clear" w:fill="FFFFFF"/>
          <w:lang w:val="en-US" w:eastAsia="zh-CN" w:bidi="ar"/>
        </w:rPr>
        <w:t>2022年政府信息公开工作报告如下:</w:t>
      </w:r>
    </w:p>
    <w:p>
      <w:pPr>
        <w:pStyle w:val="2"/>
        <w:keepNext w:val="0"/>
        <w:keepLines w:val="0"/>
        <w:widowControl/>
        <w:suppressLineNumbers w:val="0"/>
        <w:shd w:val="clear" w:color="auto" w:fill="FFFFFF"/>
        <w:spacing w:before="75" w:beforeAutospacing="0" w:after="75" w:afterAutospacing="0" w:line="450" w:lineRule="atLeast"/>
        <w:ind w:right="0" w:firstLine="643" w:firstLineChars="200"/>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lang w:val="en-US" w:eastAsia="zh-CN"/>
        </w:rPr>
        <w:t>（一）</w:t>
      </w:r>
      <w:r>
        <w:rPr>
          <w:rFonts w:hint="eastAsia" w:ascii="仿宋_GB2312" w:hAnsi="仿宋_GB2312" w:eastAsia="仿宋_GB2312" w:cs="仿宋_GB2312"/>
          <w:b/>
          <w:bCs/>
          <w:color w:val="auto"/>
          <w:sz w:val="32"/>
          <w:szCs w:val="32"/>
          <w:shd w:val="clear" w:color="auto" w:fill="FFFFFF"/>
        </w:rPr>
        <w:t>主动公开</w:t>
      </w:r>
      <w:r>
        <w:rPr>
          <w:rFonts w:hint="eastAsia" w:ascii="仿宋_GB2312" w:hAnsi="仿宋_GB2312" w:eastAsia="仿宋_GB2312" w:cs="仿宋_GB2312"/>
          <w:b/>
          <w:bCs/>
          <w:color w:val="auto"/>
          <w:sz w:val="32"/>
          <w:szCs w:val="32"/>
          <w:shd w:val="clear" w:color="auto" w:fill="FFFFFF"/>
          <w:lang w:eastAsia="zh-CN"/>
        </w:rPr>
        <w:t>情况</w:t>
      </w:r>
      <w:r>
        <w:rPr>
          <w:rFonts w:hint="eastAsia" w:ascii="仿宋_GB2312" w:hAnsi="仿宋_GB2312" w:eastAsia="仿宋_GB2312" w:cs="仿宋_GB2312"/>
          <w:b/>
          <w:bCs/>
          <w:color w:val="auto"/>
          <w:sz w:val="32"/>
          <w:szCs w:val="32"/>
          <w:shd w:val="clear" w:color="auto" w:fill="FFFFFF"/>
        </w:rPr>
        <w:t>。</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按照政府信息“以公开为原则、不公开为例外”的基本要求，结合我镇工作实际，</w:t>
      </w:r>
      <w:r>
        <w:rPr>
          <w:rFonts w:hint="eastAsia" w:ascii="仿宋_GB2312" w:hAnsi="仿宋_GB2312" w:eastAsia="仿宋_GB2312" w:cs="仿宋_GB2312"/>
          <w:color w:val="auto"/>
          <w:sz w:val="32"/>
          <w:szCs w:val="32"/>
          <w:shd w:val="clear" w:color="auto" w:fill="FFFFFF"/>
          <w:lang w:eastAsia="zh-CN"/>
        </w:rPr>
        <w:t>2022</w:t>
      </w:r>
      <w:r>
        <w:rPr>
          <w:rFonts w:hint="eastAsia" w:ascii="仿宋_GB2312" w:hAnsi="仿宋_GB2312" w:eastAsia="仿宋_GB2312" w:cs="仿宋_GB2312"/>
          <w:color w:val="auto"/>
          <w:sz w:val="32"/>
          <w:szCs w:val="32"/>
          <w:shd w:val="clear" w:color="auto" w:fill="FFFFFF"/>
        </w:rPr>
        <w:t>年主动公开信息</w:t>
      </w:r>
      <w:r>
        <w:rPr>
          <w:rFonts w:hint="eastAsia" w:ascii="仿宋_GB2312" w:hAnsi="仿宋_GB2312" w:eastAsia="仿宋_GB2312" w:cs="仿宋_GB2312"/>
          <w:color w:val="auto"/>
          <w:sz w:val="32"/>
          <w:szCs w:val="32"/>
          <w:shd w:val="clear" w:color="auto" w:fill="FFFFFF"/>
          <w:lang w:val="en-US" w:eastAsia="zh-CN"/>
        </w:rPr>
        <w:t>63</w:t>
      </w:r>
      <w:r>
        <w:rPr>
          <w:rFonts w:hint="eastAsia" w:ascii="仿宋_GB2312" w:hAnsi="仿宋_GB2312" w:eastAsia="仿宋_GB2312" w:cs="仿宋_GB2312"/>
          <w:color w:val="auto"/>
          <w:sz w:val="32"/>
          <w:szCs w:val="32"/>
          <w:shd w:val="clear" w:color="auto" w:fill="FFFFFF"/>
        </w:rPr>
        <w:t>条。主动公开的类别</w:t>
      </w:r>
      <w:r>
        <w:rPr>
          <w:rFonts w:hint="eastAsia" w:ascii="仿宋_GB2312" w:hAnsi="仿宋_GB2312" w:eastAsia="仿宋_GB2312" w:cs="仿宋_GB2312"/>
          <w:color w:val="auto"/>
          <w:sz w:val="32"/>
          <w:szCs w:val="32"/>
          <w:shd w:val="clear" w:color="auto" w:fill="FFFFFF"/>
          <w:lang w:eastAsia="zh-CN"/>
        </w:rPr>
        <w:t>方面，</w:t>
      </w:r>
      <w:r>
        <w:rPr>
          <w:rFonts w:hint="eastAsia" w:ascii="仿宋_GB2312" w:hAnsi="仿宋_GB2312" w:eastAsia="仿宋_GB2312" w:cs="仿宋_GB2312"/>
          <w:color w:val="auto"/>
          <w:sz w:val="32"/>
          <w:szCs w:val="32"/>
          <w:shd w:val="clear" w:color="auto" w:fill="FFFFFF"/>
        </w:rPr>
        <w:t>主要包括机构职能、政策宣传、工作</w:t>
      </w:r>
      <w:r>
        <w:rPr>
          <w:rFonts w:hint="eastAsia" w:ascii="仿宋_GB2312" w:hAnsi="仿宋_GB2312" w:eastAsia="仿宋_GB2312" w:cs="仿宋_GB2312"/>
          <w:color w:val="auto"/>
          <w:sz w:val="32"/>
          <w:szCs w:val="32"/>
          <w:shd w:val="clear" w:color="auto" w:fill="FFFFFF"/>
          <w:lang w:eastAsia="zh-CN"/>
        </w:rPr>
        <w:t>动态</w:t>
      </w:r>
      <w:r>
        <w:rPr>
          <w:rFonts w:hint="eastAsia" w:ascii="仿宋_GB2312" w:hAnsi="仿宋_GB2312" w:eastAsia="仿宋_GB2312" w:cs="仿宋_GB2312"/>
          <w:color w:val="auto"/>
          <w:sz w:val="32"/>
          <w:szCs w:val="32"/>
          <w:shd w:val="clear" w:color="auto" w:fill="FFFFFF"/>
        </w:rPr>
        <w:t>等各类信息。主动公开的途径</w:t>
      </w:r>
      <w:r>
        <w:rPr>
          <w:rFonts w:hint="eastAsia" w:ascii="仿宋_GB2312" w:hAnsi="仿宋_GB2312" w:eastAsia="仿宋_GB2312" w:cs="仿宋_GB2312"/>
          <w:color w:val="auto"/>
          <w:sz w:val="32"/>
          <w:szCs w:val="32"/>
          <w:shd w:val="clear" w:color="auto" w:fill="FFFFFF"/>
          <w:lang w:eastAsia="zh-CN"/>
        </w:rPr>
        <w:t>方面，</w:t>
      </w:r>
      <w:r>
        <w:rPr>
          <w:rFonts w:hint="eastAsia" w:ascii="仿宋_GB2312" w:hAnsi="仿宋_GB2312" w:eastAsia="仿宋_GB2312" w:cs="仿宋_GB2312"/>
          <w:color w:val="auto"/>
          <w:sz w:val="32"/>
          <w:szCs w:val="32"/>
          <w:shd w:val="clear" w:color="auto" w:fill="FFFFFF"/>
        </w:rPr>
        <w:t>通过董家镇人民政府门户网站进行公开信息。</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lang w:val="en-US" w:eastAsia="zh-CN"/>
        </w:rPr>
        <w:t>（二）</w:t>
      </w:r>
      <w:r>
        <w:rPr>
          <w:rFonts w:hint="eastAsia" w:ascii="仿宋_GB2312" w:hAnsi="仿宋_GB2312" w:eastAsia="仿宋_GB2312" w:cs="仿宋_GB2312"/>
          <w:b/>
          <w:bCs/>
          <w:color w:val="auto"/>
          <w:sz w:val="32"/>
          <w:szCs w:val="32"/>
          <w:shd w:val="clear" w:color="auto" w:fill="FFFFFF"/>
        </w:rPr>
        <w:t>依申请公开信息情况。</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rPr>
        <w:t>我镇收到依申请公开政府信息</w:t>
      </w:r>
      <w:r>
        <w:rPr>
          <w:rFonts w:hint="eastAsia" w:ascii="仿宋_GB2312" w:hAnsi="仿宋_GB2312" w:eastAsia="仿宋_GB2312" w:cs="仿宋_GB2312"/>
          <w:color w:val="auto"/>
          <w:sz w:val="32"/>
          <w:szCs w:val="32"/>
          <w:shd w:val="clear" w:color="auto" w:fill="FFFFFF"/>
          <w:lang w:val="en-US" w:eastAsia="zh-CN"/>
        </w:rPr>
        <w:t>0</w:t>
      </w:r>
      <w:r>
        <w:rPr>
          <w:rFonts w:hint="eastAsia" w:ascii="仿宋_GB2312" w:hAnsi="仿宋_GB2312" w:eastAsia="仿宋_GB2312" w:cs="仿宋_GB2312"/>
          <w:color w:val="auto"/>
          <w:sz w:val="32"/>
          <w:szCs w:val="32"/>
          <w:shd w:val="clear" w:color="auto" w:fill="FFFFFF"/>
        </w:rPr>
        <w:t>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56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确保政务公开各项工作落到实处，我镇成立了由镇党委组织委员任组长的政务公开工作领导小组，下设办公室在镇党政办，负责督促落实关于政务公开的一系列部署。我镇及时公布了政府信息公开目录、指南等内容，切实加强对平台栏目设置规范性、信息及时有效性、查询利用便捷度等方面的监测、指导，重要政府信息发布的时效性、准确性不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562"/>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（四）政府信息公开平台建设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560"/>
        <w:jc w:val="both"/>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四是平台建设情况。充分发挥董家镇政府网站作用，不断维护优化董家镇公开信息，确保信息公开及时准确。董家镇围绕疫情防控、党史学习教育、巩固脱贫攻坚成果等重点工作在江西日报、宜春日报、丰城报等市级以上新闻媒体发布报道、刊登稿件100余篇。在董家镇便民服务大厅设置自助查阅平台，方便有需要的群众及时获取政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562"/>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56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一、明确责任。为适应新时代对政务公开需求，我镇配备1名专职和1名兼职人员重点做好政务公开工作，形成了镇主要负责人、分管负责人和专职人员三级联动，确保责任压实到位、有人管事、有人干事。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56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二、强化监督。2022年，我镇进一步完善信息公开机制，围绕中心工作，及时、准确填报应公开的信息，积极接受各种渠道的监督，尤其对于群众关切的热点、投诉的问题、反映的困难，董家镇第一时间进行响应，根据职责安排专人负责跟进，及时予以回应答复，努力提升公众满意度。严格遵守信息保密审查制度，确保涉密信息不公开，公开信息不涉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56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2022年我镇在市政务公开工作考核中取得了良好成绩，接受各单位和群众的社会监督、社会评议，社会群众对我镇信息公开评议结果较好。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40" w:afterAutospacing="0"/>
        <w:ind w:left="0" w:right="0" w:firstLine="56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2022年我镇未发生政务公开责任追究情况。</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31"/>
          <w:szCs w:val="31"/>
          <w:shd w:val="clear" w:color="auto" w:fill="FFFFFF"/>
        </w:rPr>
        <w:t>二、主动公开政府信息情况</w:t>
      </w:r>
    </w:p>
    <w:tbl>
      <w:tblPr>
        <w:tblStyle w:val="3"/>
        <w:tblW w:w="4917" w:type="pct"/>
        <w:tblInd w:w="30" w:type="dxa"/>
        <w:tblLayout w:type="autofit"/>
        <w:tblCellMar>
          <w:top w:w="15" w:type="dxa"/>
          <w:left w:w="15" w:type="dxa"/>
          <w:bottom w:w="15" w:type="dxa"/>
          <w:right w:w="15" w:type="dxa"/>
        </w:tblCellMar>
      </w:tblPr>
      <w:tblGrid>
        <w:gridCol w:w="2642"/>
        <w:gridCol w:w="1830"/>
        <w:gridCol w:w="1830"/>
        <w:gridCol w:w="2014"/>
      </w:tblGrid>
      <w:tr>
        <w:tblPrEx>
          <w:tblCellMar>
            <w:top w:w="15" w:type="dxa"/>
            <w:left w:w="15" w:type="dxa"/>
            <w:bottom w:w="15" w:type="dxa"/>
            <w:right w:w="15" w:type="dxa"/>
          </w:tblCellMar>
        </w:tblPrEx>
        <w:trPr>
          <w:trHeight w:val="330" w:hRule="atLeast"/>
        </w:trPr>
        <w:tc>
          <w:tcPr>
            <w:tcW w:w="5000" w:type="pct"/>
            <w:gridSpan w:val="4"/>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jc w:val="left"/>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24"/>
                <w:szCs w:val="24"/>
              </w:rPr>
              <w:t>第二十条第（一）项</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信息内容</w:t>
            </w:r>
          </w:p>
        </w:tc>
        <w:tc>
          <w:tcPr>
            <w:tcW w:w="1100"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本年</w:t>
            </w:r>
            <w:r>
              <w:rPr>
                <w:rFonts w:hint="eastAsia" w:ascii="仿宋_GB2312" w:hAnsi="仿宋_GB2312" w:eastAsia="仿宋_GB2312" w:cs="仿宋_GB2312"/>
                <w:color w:val="auto"/>
                <w:sz w:val="18"/>
                <w:szCs w:val="18"/>
                <w:lang w:val="en-US" w:eastAsia="zh-CN"/>
              </w:rPr>
              <w:t>制发件数</w:t>
            </w:r>
          </w:p>
        </w:tc>
        <w:tc>
          <w:tcPr>
            <w:tcW w:w="1100"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本年</w:t>
            </w:r>
            <w:r>
              <w:rPr>
                <w:rFonts w:hint="eastAsia" w:ascii="仿宋_GB2312" w:hAnsi="仿宋_GB2312" w:eastAsia="仿宋_GB2312" w:cs="仿宋_GB2312"/>
                <w:color w:val="auto"/>
                <w:sz w:val="18"/>
                <w:szCs w:val="18"/>
                <w:lang w:val="en-US" w:eastAsia="zh-CN"/>
              </w:rPr>
              <w:t>废止件数</w:t>
            </w:r>
          </w:p>
        </w:tc>
        <w:tc>
          <w:tcPr>
            <w:tcW w:w="1209"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现行有效件数</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规章</w:t>
            </w:r>
          </w:p>
        </w:tc>
        <w:tc>
          <w:tcPr>
            <w:tcW w:w="1100"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1100"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1209"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行政</w:t>
            </w:r>
            <w:r>
              <w:rPr>
                <w:rFonts w:hint="eastAsia" w:ascii="仿宋_GB2312" w:hAnsi="仿宋_GB2312" w:eastAsia="仿宋_GB2312" w:cs="仿宋_GB2312"/>
                <w:color w:val="auto"/>
                <w:sz w:val="18"/>
                <w:szCs w:val="18"/>
              </w:rPr>
              <w:t>规范性文件</w:t>
            </w:r>
          </w:p>
        </w:tc>
        <w:tc>
          <w:tcPr>
            <w:tcW w:w="1100"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w:t>
            </w:r>
          </w:p>
        </w:tc>
        <w:tc>
          <w:tcPr>
            <w:tcW w:w="1100"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c>
          <w:tcPr>
            <w:tcW w:w="1209"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w:t>
            </w:r>
          </w:p>
        </w:tc>
      </w:tr>
      <w:tr>
        <w:tblPrEx>
          <w:tblCellMar>
            <w:top w:w="15" w:type="dxa"/>
            <w:left w:w="15" w:type="dxa"/>
            <w:bottom w:w="15" w:type="dxa"/>
            <w:right w:w="15" w:type="dxa"/>
          </w:tblCellMar>
        </w:tblPrEx>
        <w:trPr>
          <w:trHeight w:val="330" w:hRule="atLeast"/>
        </w:trPr>
        <w:tc>
          <w:tcPr>
            <w:tcW w:w="5000" w:type="pct"/>
            <w:gridSpan w:val="4"/>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24"/>
                <w:szCs w:val="24"/>
              </w:rPr>
              <w:t>第二十条第（五）项</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信息内容</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en-US" w:eastAsia="zh-CN"/>
              </w:rPr>
              <w:t>本年</w:t>
            </w:r>
            <w:r>
              <w:rPr>
                <w:rFonts w:hint="eastAsia" w:ascii="仿宋_GB2312" w:hAnsi="仿宋_GB2312" w:eastAsia="仿宋_GB2312" w:cs="仿宋_GB2312"/>
                <w:color w:val="auto"/>
                <w:sz w:val="18"/>
                <w:szCs w:val="18"/>
              </w:rPr>
              <w:t>处理决定数量</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行政许可</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5000" w:type="pct"/>
            <w:gridSpan w:val="4"/>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24"/>
                <w:szCs w:val="24"/>
              </w:rPr>
              <w:t>第二十条第（六）项</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信息内容</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本年处理决定数量</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行政</w:t>
            </w:r>
            <w:r>
              <w:rPr>
                <w:rFonts w:hint="eastAsia" w:ascii="仿宋_GB2312" w:hAnsi="仿宋_GB2312" w:eastAsia="仿宋_GB2312" w:cs="仿宋_GB2312"/>
                <w:color w:val="auto"/>
                <w:sz w:val="18"/>
                <w:szCs w:val="18"/>
                <w:lang w:val="en-US" w:eastAsia="zh-CN"/>
              </w:rPr>
              <w:t>处罚</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行政强制</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r>
      <w:tr>
        <w:tblPrEx>
          <w:tblCellMar>
            <w:top w:w="15" w:type="dxa"/>
            <w:left w:w="15" w:type="dxa"/>
            <w:bottom w:w="15" w:type="dxa"/>
            <w:right w:w="15" w:type="dxa"/>
          </w:tblCellMar>
        </w:tblPrEx>
        <w:trPr>
          <w:trHeight w:val="330" w:hRule="atLeast"/>
        </w:trPr>
        <w:tc>
          <w:tcPr>
            <w:tcW w:w="5000" w:type="pct"/>
            <w:gridSpan w:val="4"/>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24"/>
                <w:szCs w:val="24"/>
              </w:rPr>
              <w:t>第二十条第（八）项</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信息内容</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本年收费金额（单位：万元）</w:t>
            </w:r>
          </w:p>
        </w:tc>
      </w:tr>
      <w:tr>
        <w:tblPrEx>
          <w:tblCellMar>
            <w:top w:w="15" w:type="dxa"/>
            <w:left w:w="15" w:type="dxa"/>
            <w:bottom w:w="15" w:type="dxa"/>
            <w:right w:w="15" w:type="dxa"/>
          </w:tblCellMar>
        </w:tblPrEx>
        <w:trPr>
          <w:trHeight w:val="330" w:hRule="atLeast"/>
        </w:trPr>
        <w:tc>
          <w:tcPr>
            <w:tcW w:w="1589"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行政事业性收费</w:t>
            </w:r>
          </w:p>
        </w:tc>
        <w:tc>
          <w:tcPr>
            <w:tcW w:w="3410" w:type="pct"/>
            <w:gridSpan w:val="3"/>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bl>
    <w:p>
      <w:pPr>
        <w:pStyle w:val="2"/>
        <w:keepNext w:val="0"/>
        <w:keepLines w:val="0"/>
        <w:widowControl/>
        <w:suppressLineNumbers w:val="0"/>
        <w:shd w:val="clear" w:color="auto" w:fill="FFFFFF"/>
        <w:spacing w:before="75" w:beforeAutospacing="0" w:after="75" w:afterAutospacing="0" w:line="450" w:lineRule="atLeast"/>
        <w:ind w:left="0" w:right="0"/>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31"/>
          <w:szCs w:val="31"/>
          <w:shd w:val="clear" w:color="auto" w:fill="FFFFFF"/>
        </w:rPr>
        <w:t>三、收到和处理政府信息公开申请情况</w:t>
      </w:r>
    </w:p>
    <w:tbl>
      <w:tblPr>
        <w:tblStyle w:val="3"/>
        <w:tblW w:w="0" w:type="auto"/>
        <w:tblInd w:w="30" w:type="dxa"/>
        <w:tblLayout w:type="autofit"/>
        <w:tblCellMar>
          <w:top w:w="15" w:type="dxa"/>
          <w:left w:w="15" w:type="dxa"/>
          <w:bottom w:w="15" w:type="dxa"/>
          <w:right w:w="15" w:type="dxa"/>
        </w:tblCellMar>
      </w:tblPr>
      <w:tblGrid>
        <w:gridCol w:w="1001"/>
        <w:gridCol w:w="1241"/>
        <w:gridCol w:w="987"/>
        <w:gridCol w:w="464"/>
        <w:gridCol w:w="776"/>
        <w:gridCol w:w="776"/>
        <w:gridCol w:w="776"/>
        <w:gridCol w:w="776"/>
        <w:gridCol w:w="807"/>
        <w:gridCol w:w="822"/>
      </w:tblGrid>
      <w:tr>
        <w:tblPrEx>
          <w:tblCellMar>
            <w:top w:w="15" w:type="dxa"/>
            <w:left w:w="15" w:type="dxa"/>
            <w:bottom w:w="15" w:type="dxa"/>
            <w:right w:w="15" w:type="dxa"/>
          </w:tblCellMar>
        </w:tblPrEx>
        <w:trPr>
          <w:trHeight w:val="330" w:hRule="atLeast"/>
        </w:trPr>
        <w:tc>
          <w:tcPr>
            <w:tcW w:w="3229" w:type="dxa"/>
            <w:gridSpan w:val="3"/>
            <w:vMerge w:val="restart"/>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（本列数据的勾稽关系为：第一项加第二项之和，等于第三项加第四项之和）</w:t>
            </w:r>
          </w:p>
        </w:tc>
        <w:tc>
          <w:tcPr>
            <w:tcW w:w="5197" w:type="dxa"/>
            <w:gridSpan w:val="7"/>
            <w:tcBorders>
              <w:top w:val="single" w:color="333333" w:sz="6" w:space="0"/>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申请人情况</w:t>
            </w:r>
          </w:p>
        </w:tc>
      </w:tr>
      <w:tr>
        <w:tblPrEx>
          <w:tblCellMar>
            <w:top w:w="15" w:type="dxa"/>
            <w:left w:w="15" w:type="dxa"/>
            <w:bottom w:w="15" w:type="dxa"/>
            <w:right w:w="15" w:type="dxa"/>
          </w:tblCellMar>
        </w:tblPrEx>
        <w:trPr>
          <w:trHeight w:val="330" w:hRule="atLeast"/>
        </w:trPr>
        <w:tc>
          <w:tcPr>
            <w:tcW w:w="3229" w:type="dxa"/>
            <w:gridSpan w:val="3"/>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464" w:type="dxa"/>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自然人</w:t>
            </w:r>
          </w:p>
        </w:tc>
        <w:tc>
          <w:tcPr>
            <w:tcW w:w="3911" w:type="dxa"/>
            <w:gridSpan w:val="5"/>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法人或其他组织</w:t>
            </w:r>
          </w:p>
        </w:tc>
        <w:tc>
          <w:tcPr>
            <w:tcW w:w="822" w:type="dxa"/>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总计</w:t>
            </w:r>
          </w:p>
        </w:tc>
      </w:tr>
      <w:tr>
        <w:tblPrEx>
          <w:tblCellMar>
            <w:top w:w="15" w:type="dxa"/>
            <w:left w:w="15" w:type="dxa"/>
            <w:bottom w:w="15" w:type="dxa"/>
            <w:right w:w="15" w:type="dxa"/>
          </w:tblCellMar>
        </w:tblPrEx>
        <w:trPr>
          <w:trHeight w:val="330" w:hRule="atLeast"/>
        </w:trPr>
        <w:tc>
          <w:tcPr>
            <w:tcW w:w="3229" w:type="dxa"/>
            <w:gridSpan w:val="3"/>
            <w:vMerge w:val="continue"/>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464"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商业企业</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科研机构</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社会公益组织</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法律服务机构</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w:t>
            </w:r>
          </w:p>
        </w:tc>
        <w:tc>
          <w:tcPr>
            <w:tcW w:w="822"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r>
      <w:tr>
        <w:tblPrEx>
          <w:tblCellMar>
            <w:top w:w="15" w:type="dxa"/>
            <w:left w:w="15" w:type="dxa"/>
            <w:bottom w:w="15" w:type="dxa"/>
            <w:right w:w="15" w:type="dxa"/>
          </w:tblCellMar>
        </w:tblPrEx>
        <w:trPr>
          <w:trHeight w:val="330" w:hRule="atLeast"/>
        </w:trPr>
        <w:tc>
          <w:tcPr>
            <w:tcW w:w="3229" w:type="dxa"/>
            <w:gridSpan w:val="3"/>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一、本年新收政府信息公开申请数量</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
              </w:rPr>
            </w:pPr>
            <w:r>
              <w:rPr>
                <w:rFonts w:hint="default" w:ascii="仿宋_GB2312" w:hAnsi="仿宋_GB2312" w:eastAsia="仿宋_GB2312" w:cs="仿宋_GB2312"/>
                <w:color w:val="auto"/>
                <w:sz w:val="18"/>
                <w:szCs w:val="18"/>
                <w:lang w:val="en"/>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r>
      <w:tr>
        <w:tblPrEx>
          <w:tblCellMar>
            <w:top w:w="15" w:type="dxa"/>
            <w:left w:w="15" w:type="dxa"/>
            <w:bottom w:w="15" w:type="dxa"/>
            <w:right w:w="15" w:type="dxa"/>
          </w:tblCellMar>
        </w:tblPrEx>
        <w:trPr>
          <w:trHeight w:val="330" w:hRule="atLeast"/>
        </w:trPr>
        <w:tc>
          <w:tcPr>
            <w:tcW w:w="3229" w:type="dxa"/>
            <w:gridSpan w:val="3"/>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二、上年结转政府信息公开申请数量</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restar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三、本年度办理结果</w:t>
            </w:r>
          </w:p>
        </w:tc>
        <w:tc>
          <w:tcPr>
            <w:tcW w:w="2228" w:type="dxa"/>
            <w:gridSpan w:val="2"/>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（一）予以公开</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
              </w:rPr>
            </w:pPr>
            <w:r>
              <w:rPr>
                <w:rFonts w:hint="default" w:ascii="仿宋_GB2312" w:hAnsi="仿宋_GB2312" w:eastAsia="仿宋_GB2312" w:cs="仿宋_GB2312"/>
                <w:color w:val="auto"/>
                <w:sz w:val="18"/>
                <w:szCs w:val="18"/>
                <w:lang w:val="en"/>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2228" w:type="dxa"/>
            <w:gridSpan w:val="2"/>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（二）部分公开（区分处理的，只计这一情形，不计其他情形）</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不予公开</w:t>
            </w: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1.属于国家秘密</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2.其他法律行政法规禁止公开</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3.危及“三安全一稳定”</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4.保护第三方合法权益</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5.属于三类内部事务信息</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6.属于四类过程性信息</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7.属于行政执法案卷</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8.属于行政查询事项</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无法提供</w:t>
            </w: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1.本机关不掌握相关政府信息</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2.没有现成信息需要另行制作</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3.补正后申请内容仍不明确</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（五）</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 w:eastAsia="zh-CN"/>
              </w:rPr>
            </w:pPr>
            <w:r>
              <w:rPr>
                <w:rFonts w:hint="eastAsia" w:ascii="仿宋_GB2312" w:hAnsi="仿宋_GB2312" w:eastAsia="仿宋_GB2312" w:cs="仿宋_GB2312"/>
                <w:color w:val="auto"/>
                <w:sz w:val="18"/>
                <w:szCs w:val="18"/>
              </w:rPr>
              <w:t>不予</w:t>
            </w:r>
            <w:r>
              <w:rPr>
                <w:rFonts w:hint="eastAsia" w:ascii="仿宋_GB2312" w:hAnsi="仿宋_GB2312" w:eastAsia="仿宋_GB2312" w:cs="仿宋_GB2312"/>
                <w:color w:val="auto"/>
                <w:sz w:val="18"/>
                <w:szCs w:val="18"/>
                <w:lang w:eastAsia="zh-CN"/>
              </w:rPr>
              <w:t>公开</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w:t>
            </w: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1.信访举报投诉类申请</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 重复申请</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 要求提供公开出版物</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 无正当理由大量反复申请</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 要求行政机关确认或重新出具已获取信息</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restart"/>
            <w:tcBorders>
              <w:top w:val="nil"/>
              <w:left w:val="nil"/>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（六）其他处理</w:t>
            </w: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1.申请人无正当理由逾期不补正</w:t>
            </w:r>
            <w:r>
              <w:rPr>
                <w:rFonts w:hint="eastAsia" w:ascii="仿宋_GB2312" w:hAnsi="仿宋_GB2312" w:eastAsia="仿宋_GB2312" w:cs="仿宋_GB2312"/>
                <w:i w:val="0"/>
                <w:iCs w:val="0"/>
                <w:caps w:val="0"/>
                <w:color w:val="auto"/>
                <w:spacing w:val="0"/>
                <w:kern w:val="0"/>
                <w:sz w:val="18"/>
                <w:szCs w:val="18"/>
                <w:shd w:val="clear" w:color="auto" w:fill="FFFFFF"/>
                <w:lang w:val="en-US" w:eastAsia="zh-CN" w:bidi="ar"/>
              </w:rPr>
              <w:t>、行政机关不再处理其政府信息公开申请</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left w:val="nil"/>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2.申请人逾期未按收费通知要求缴纳费用</w:t>
            </w:r>
            <w:r>
              <w:rPr>
                <w:rFonts w:hint="eastAsia" w:ascii="仿宋_GB2312" w:hAnsi="仿宋_GB2312" w:eastAsia="仿宋_GB2312" w:cs="仿宋_GB2312"/>
                <w:i w:val="0"/>
                <w:iCs w:val="0"/>
                <w:caps w:val="0"/>
                <w:color w:val="auto"/>
                <w:spacing w:val="0"/>
                <w:kern w:val="0"/>
                <w:sz w:val="18"/>
                <w:szCs w:val="18"/>
                <w:shd w:val="clear" w:color="auto" w:fill="FFFFFF"/>
                <w:lang w:val="en-US" w:eastAsia="zh-CN" w:bidi="ar"/>
              </w:rPr>
              <w:t>、行政机关不再处理其政府信息公开申请</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1241" w:type="dxa"/>
            <w:vMerge w:val="continue"/>
            <w:tcBorders>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98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3.其他</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p>
        </w:tc>
      </w:tr>
      <w:tr>
        <w:tblPrEx>
          <w:tblCellMar>
            <w:top w:w="15" w:type="dxa"/>
            <w:left w:w="15" w:type="dxa"/>
            <w:bottom w:w="15" w:type="dxa"/>
            <w:right w:w="15" w:type="dxa"/>
          </w:tblCellMar>
        </w:tblPrEx>
        <w:trPr>
          <w:trHeight w:val="330" w:hRule="atLeast"/>
        </w:trPr>
        <w:tc>
          <w:tcPr>
            <w:tcW w:w="1001" w:type="dxa"/>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2228" w:type="dxa"/>
            <w:gridSpan w:val="2"/>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（七）总计</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r>
      <w:tr>
        <w:tblPrEx>
          <w:tblCellMar>
            <w:top w:w="15" w:type="dxa"/>
            <w:left w:w="15" w:type="dxa"/>
            <w:bottom w:w="15" w:type="dxa"/>
            <w:right w:w="15" w:type="dxa"/>
          </w:tblCellMar>
        </w:tblPrEx>
        <w:trPr>
          <w:trHeight w:val="330" w:hRule="atLeast"/>
        </w:trPr>
        <w:tc>
          <w:tcPr>
            <w:tcW w:w="3229" w:type="dxa"/>
            <w:gridSpan w:val="3"/>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四、结转下年度继续办理</w:t>
            </w:r>
          </w:p>
        </w:tc>
        <w:tc>
          <w:tcPr>
            <w:tcW w:w="464"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776"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07"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822" w:type="dxa"/>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r>
    </w:tbl>
    <w:p>
      <w:pPr>
        <w:pStyle w:val="2"/>
        <w:keepNext w:val="0"/>
        <w:keepLines w:val="0"/>
        <w:widowControl/>
        <w:suppressLineNumbers w:val="0"/>
        <w:shd w:val="clear" w:color="auto" w:fill="FFFFFF"/>
        <w:spacing w:before="75" w:beforeAutospacing="0" w:after="75" w:afterAutospacing="0" w:line="450" w:lineRule="atLeast"/>
        <w:ind w:left="0" w:right="0"/>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31"/>
          <w:szCs w:val="31"/>
          <w:shd w:val="clear" w:color="auto" w:fill="FFFFFF"/>
        </w:rPr>
        <w:t>四、政府信息公开行政复议、行政诉讼情况</w:t>
      </w:r>
    </w:p>
    <w:tbl>
      <w:tblPr>
        <w:tblStyle w:val="3"/>
        <w:tblW w:w="10219" w:type="dxa"/>
        <w:tblInd w:w="-237" w:type="dxa"/>
        <w:tblLayout w:type="autofit"/>
        <w:tblCellMar>
          <w:top w:w="15" w:type="dxa"/>
          <w:left w:w="15" w:type="dxa"/>
          <w:bottom w:w="15" w:type="dxa"/>
          <w:right w:w="15" w:type="dxa"/>
        </w:tblCellMar>
      </w:tblPr>
      <w:tblGrid>
        <w:gridCol w:w="834"/>
        <w:gridCol w:w="603"/>
        <w:gridCol w:w="603"/>
        <w:gridCol w:w="605"/>
        <w:gridCol w:w="914"/>
        <w:gridCol w:w="605"/>
        <w:gridCol w:w="605"/>
        <w:gridCol w:w="605"/>
        <w:gridCol w:w="605"/>
        <w:gridCol w:w="908"/>
        <w:gridCol w:w="605"/>
        <w:gridCol w:w="605"/>
        <w:gridCol w:w="605"/>
        <w:gridCol w:w="605"/>
        <w:gridCol w:w="912"/>
      </w:tblGrid>
      <w:tr>
        <w:tblPrEx>
          <w:tblCellMar>
            <w:top w:w="15" w:type="dxa"/>
            <w:left w:w="15" w:type="dxa"/>
            <w:bottom w:w="15" w:type="dxa"/>
            <w:right w:w="15" w:type="dxa"/>
          </w:tblCellMar>
        </w:tblPrEx>
        <w:trPr>
          <w:trHeight w:val="597" w:hRule="atLeast"/>
        </w:trPr>
        <w:tc>
          <w:tcPr>
            <w:tcW w:w="1741" w:type="pct"/>
            <w:gridSpan w:val="5"/>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行政复议</w:t>
            </w:r>
          </w:p>
        </w:tc>
        <w:tc>
          <w:tcPr>
            <w:tcW w:w="3258" w:type="pct"/>
            <w:gridSpan w:val="10"/>
            <w:tcBorders>
              <w:top w:val="single" w:color="333333" w:sz="6" w:space="0"/>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行政诉讼</w:t>
            </w:r>
          </w:p>
        </w:tc>
      </w:tr>
      <w:tr>
        <w:tblPrEx>
          <w:tblCellMar>
            <w:top w:w="15" w:type="dxa"/>
            <w:left w:w="15" w:type="dxa"/>
            <w:bottom w:w="15" w:type="dxa"/>
            <w:right w:w="15" w:type="dxa"/>
          </w:tblCellMar>
        </w:tblPrEx>
        <w:trPr>
          <w:trHeight w:val="583" w:hRule="atLeast"/>
        </w:trPr>
        <w:tc>
          <w:tcPr>
            <w:tcW w:w="408" w:type="pct"/>
            <w:vMerge w:val="restar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结结果维持</w:t>
            </w:r>
          </w:p>
        </w:tc>
        <w:tc>
          <w:tcPr>
            <w:tcW w:w="295" w:type="pct"/>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结结果纠正</w:t>
            </w:r>
          </w:p>
        </w:tc>
        <w:tc>
          <w:tcPr>
            <w:tcW w:w="295" w:type="pct"/>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其其他结果</w:t>
            </w:r>
          </w:p>
        </w:tc>
        <w:tc>
          <w:tcPr>
            <w:tcW w:w="296" w:type="pct"/>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尚未审结</w:t>
            </w:r>
          </w:p>
        </w:tc>
        <w:tc>
          <w:tcPr>
            <w:tcW w:w="445" w:type="pct"/>
            <w:vMerge w:val="restar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总合计</w:t>
            </w:r>
          </w:p>
        </w:tc>
        <w:tc>
          <w:tcPr>
            <w:tcW w:w="1628" w:type="pct"/>
            <w:gridSpan w:val="5"/>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未经复议直接起诉</w:t>
            </w:r>
          </w:p>
        </w:tc>
        <w:tc>
          <w:tcPr>
            <w:tcW w:w="1630" w:type="pct"/>
            <w:gridSpan w:val="5"/>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复议后起诉</w:t>
            </w:r>
          </w:p>
        </w:tc>
      </w:tr>
      <w:tr>
        <w:tblPrEx>
          <w:tblCellMar>
            <w:top w:w="15" w:type="dxa"/>
            <w:left w:w="15" w:type="dxa"/>
            <w:bottom w:w="15" w:type="dxa"/>
            <w:right w:w="15" w:type="dxa"/>
          </w:tblCellMar>
        </w:tblPrEx>
        <w:trPr>
          <w:trHeight w:val="880" w:hRule="atLeast"/>
        </w:trPr>
        <w:tc>
          <w:tcPr>
            <w:tcW w:w="408" w:type="pct"/>
            <w:vMerge w:val="continue"/>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295" w:type="pct"/>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295" w:type="pct"/>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296" w:type="pct"/>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445" w:type="pct"/>
            <w:vMerge w:val="continue"/>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rPr>
                <w:rFonts w:hint="eastAsia" w:ascii="仿宋_GB2312" w:hAnsi="仿宋_GB2312" w:eastAsia="仿宋_GB2312" w:cs="仿宋_GB2312"/>
                <w:color w:val="auto"/>
                <w:sz w:val="18"/>
                <w:szCs w:val="18"/>
              </w:rPr>
            </w:pP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结结果维持</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结结果纠正</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其其他结果</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尚未审结</w:t>
            </w:r>
          </w:p>
        </w:tc>
        <w:tc>
          <w:tcPr>
            <w:tcW w:w="444"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总合计</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结结果维持</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结结果纠正</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其其他结果</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尚未审结</w:t>
            </w:r>
          </w:p>
        </w:tc>
        <w:tc>
          <w:tcPr>
            <w:tcW w:w="44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总合计</w:t>
            </w:r>
          </w:p>
        </w:tc>
      </w:tr>
      <w:tr>
        <w:tblPrEx>
          <w:tblCellMar>
            <w:top w:w="15" w:type="dxa"/>
            <w:left w:w="15" w:type="dxa"/>
            <w:bottom w:w="15" w:type="dxa"/>
            <w:right w:w="15" w:type="dxa"/>
          </w:tblCellMar>
        </w:tblPrEx>
        <w:trPr>
          <w:trHeight w:val="894" w:hRule="atLeast"/>
        </w:trPr>
        <w:tc>
          <w:tcPr>
            <w:tcW w:w="408" w:type="pct"/>
            <w:tcBorders>
              <w:top w:val="nil"/>
              <w:left w:val="single" w:color="333333" w:sz="6" w:space="0"/>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5"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5"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445"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444"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29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spacing w:before="75" w:beforeAutospacing="0" w:after="75" w:afterAutospacing="0"/>
              <w:ind w:left="0" w:right="0"/>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0</w:t>
            </w:r>
          </w:p>
        </w:tc>
        <w:tc>
          <w:tcPr>
            <w:tcW w:w="446" w:type="pct"/>
            <w:tcBorders>
              <w:top w:val="nil"/>
              <w:left w:val="nil"/>
              <w:bottom w:val="single" w:color="333333" w:sz="6" w:space="0"/>
              <w:right w:val="single" w:color="333333" w:sz="6" w:space="0"/>
            </w:tcBorders>
            <w:shd w:val="clear" w:color="auto" w:fill="FFFFFF"/>
            <w:noWrap w:val="0"/>
            <w:tcMar>
              <w:top w:w="75" w:type="dxa"/>
              <w:left w:w="75" w:type="dxa"/>
              <w:bottom w:w="75" w:type="dxa"/>
              <w:right w:w="75" w:type="dxa"/>
            </w:tcMar>
            <w:vAlign w:val="center"/>
          </w:tcPr>
          <w:p>
            <w:pPr>
              <w:pStyle w:val="2"/>
              <w:keepNext w:val="0"/>
              <w:keepLines w:val="0"/>
              <w:widowControl/>
              <w:suppressLineNumbers w:val="0"/>
              <w:wordWrap w:val="0"/>
              <w:spacing w:before="75" w:beforeAutospacing="0" w:after="75" w:afterAutospacing="0"/>
              <w:ind w:left="0" w:right="0"/>
              <w:rPr>
                <w:rFonts w:hint="eastAsia" w:ascii="仿宋_GB2312" w:hAnsi="仿宋_GB2312" w:eastAsia="仿宋_GB2312" w:cs="仿宋_GB2312"/>
                <w:color w:val="auto"/>
              </w:rPr>
            </w:pPr>
            <w:r>
              <w:rPr>
                <w:rFonts w:hint="eastAsia" w:ascii="仿宋_GB2312" w:hAnsi="仿宋_GB2312" w:eastAsia="仿宋_GB2312" w:cs="仿宋_GB2312"/>
                <w:color w:val="auto"/>
                <w:sz w:val="24"/>
                <w:szCs w:val="24"/>
              </w:rPr>
              <w:t>0</w:t>
            </w:r>
          </w:p>
        </w:tc>
      </w:tr>
    </w:tbl>
    <w:p>
      <w:pPr>
        <w:pStyle w:val="2"/>
        <w:keepNext w:val="0"/>
        <w:keepLines w:val="0"/>
        <w:widowControl/>
        <w:suppressLineNumbers w:val="0"/>
        <w:shd w:val="clear" w:color="auto" w:fill="FFFFFF"/>
        <w:spacing w:before="75" w:beforeAutospacing="0" w:after="75" w:afterAutospacing="0" w:line="450" w:lineRule="atLeast"/>
        <w:ind w:right="0" w:firstLine="622" w:firstLineChars="200"/>
        <w:rPr>
          <w:rFonts w:hint="eastAsia" w:ascii="仿宋_GB2312" w:hAnsi="仿宋_GB2312" w:eastAsia="仿宋_GB2312" w:cs="仿宋_GB2312"/>
          <w:color w:val="auto"/>
        </w:rPr>
      </w:pPr>
      <w:r>
        <w:rPr>
          <w:rStyle w:val="5"/>
          <w:rFonts w:hint="eastAsia" w:ascii="仿宋_GB2312" w:hAnsi="仿宋_GB2312" w:eastAsia="仿宋_GB2312" w:cs="仿宋_GB2312"/>
          <w:color w:val="auto"/>
          <w:sz w:val="31"/>
          <w:szCs w:val="31"/>
          <w:shd w:val="clear" w:color="auto" w:fill="FFFFFF"/>
        </w:rPr>
        <w:t>五、存在的主要问题及改进情况</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（一）存在的问题。</w:t>
      </w:r>
      <w:r>
        <w:rPr>
          <w:rFonts w:hint="eastAsia" w:ascii="仿宋_GB2312" w:hAnsi="仿宋_GB2312" w:eastAsia="仿宋_GB2312" w:cs="仿宋_GB2312"/>
          <w:color w:val="auto"/>
          <w:sz w:val="32"/>
          <w:szCs w:val="32"/>
          <w:shd w:val="clear" w:color="auto" w:fill="FFFFFF"/>
          <w:lang w:eastAsia="zh-CN"/>
        </w:rPr>
        <w:t>2022</w:t>
      </w:r>
      <w:r>
        <w:rPr>
          <w:rFonts w:hint="eastAsia" w:ascii="仿宋_GB2312" w:hAnsi="仿宋_GB2312" w:eastAsia="仿宋_GB2312" w:cs="仿宋_GB2312"/>
          <w:color w:val="auto"/>
          <w:sz w:val="32"/>
          <w:szCs w:val="32"/>
          <w:shd w:val="clear" w:color="auto" w:fill="FFFFFF"/>
        </w:rPr>
        <w:t>年，我镇政府信息公开工作在上级主管部门的正确指导下，做了大量细致扎实工作，但内容还不够全面，信息更新还需要更及时，公开形式的便民性在今后的工作中需要进一步提高。</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具体的解决办法和改进措施。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镇政府信息公开工作扎实、有序推进。二是加大宣传力度，塑造良好的政府信息公开工作氛围。贯彻落实中央、国家和市、县关于政府信息公开工作的要求，广泛开展系列政府信息公开工作宣传活动，倡导积极、全面、合法、透明的政府信息，为公众提供及时、准确、实用的信息。三是紧紧围绕中心工作，公开公众普遍关注的热点难点问题。以党和政府中心工作为主轴，以公众关心的热点、难点问题为导向，全面、及时地公开政府信息，确保政府信息公开工作的针对性和实效性。</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color w:val="auto"/>
          <w:sz w:val="32"/>
          <w:szCs w:val="32"/>
        </w:rPr>
      </w:pPr>
      <w:r>
        <w:rPr>
          <w:rStyle w:val="5"/>
          <w:rFonts w:hint="eastAsia" w:ascii="仿宋_GB2312" w:hAnsi="仿宋_GB2312" w:eastAsia="仿宋_GB2312" w:cs="仿宋_GB2312"/>
          <w:color w:val="auto"/>
          <w:sz w:val="32"/>
          <w:szCs w:val="32"/>
          <w:shd w:val="clear" w:color="auto" w:fill="FFFFFF"/>
        </w:rPr>
        <w:t>六、其他需要报告的事项</w:t>
      </w:r>
    </w:p>
    <w:p>
      <w:pPr>
        <w:pStyle w:val="2"/>
        <w:keepNext w:val="0"/>
        <w:keepLines w:val="0"/>
        <w:widowControl/>
        <w:suppressLineNumbers w:val="0"/>
        <w:shd w:val="clear" w:color="auto" w:fill="FFFFFF"/>
        <w:spacing w:before="75" w:beforeAutospacing="0" w:after="75" w:afterAutospacing="0" w:line="450" w:lineRule="atLeast"/>
        <w:ind w:left="0" w:right="0"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2022年信息处理费收费情况为0</w:t>
      </w:r>
      <w:r>
        <w:rPr>
          <w:rFonts w:hint="eastAsia" w:ascii="仿宋_GB2312" w:hAnsi="仿宋_GB2312" w:eastAsia="仿宋_GB2312" w:cs="仿宋_GB2312"/>
          <w:color w:val="auto"/>
          <w:sz w:val="32"/>
          <w:szCs w:val="32"/>
          <w:shd w:val="clear" w:color="auto" w:fill="FFFFFF"/>
        </w:rPr>
        <w:t>。</w:t>
      </w:r>
    </w:p>
    <w:p>
      <w:pPr>
        <w:rPr>
          <w:rFonts w:hint="default" w:eastAsia="宋体"/>
          <w:color w:val="auto"/>
          <w:lang w:val="en-US" w:eastAsia="zh-CN"/>
        </w:rPr>
      </w:pPr>
    </w:p>
    <w:p>
      <w:pPr>
        <w:jc w:val="center"/>
        <w:rPr>
          <w:rFonts w:hint="eastAsia"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 xml:space="preserve">                              董家镇人民政府</w:t>
      </w:r>
    </w:p>
    <w:p>
      <w:pPr>
        <w:jc w:val="center"/>
        <w:rPr>
          <w:rFonts w:hint="default" w:ascii="仿宋_GB2312" w:hAnsi="仿宋_GB2312" w:eastAsia="仿宋_GB2312" w:cs="仿宋_GB2312"/>
          <w:color w:val="auto"/>
          <w:kern w:val="0"/>
          <w:sz w:val="32"/>
          <w:szCs w:val="32"/>
          <w:shd w:val="clear" w:color="auto" w:fill="FFFFFF"/>
          <w:lang w:val="en-US" w:eastAsia="zh-CN" w:bidi="ar"/>
        </w:rPr>
      </w:pPr>
      <w:r>
        <w:rPr>
          <w:rFonts w:hint="eastAsia" w:ascii="仿宋_GB2312" w:hAnsi="仿宋_GB2312" w:eastAsia="仿宋_GB2312" w:cs="仿宋_GB2312"/>
          <w:color w:val="auto"/>
          <w:kern w:val="0"/>
          <w:sz w:val="32"/>
          <w:szCs w:val="32"/>
          <w:shd w:val="clear" w:color="auto" w:fill="FFFFFF"/>
          <w:lang w:val="en-US" w:eastAsia="zh-CN" w:bidi="ar"/>
        </w:rPr>
        <w:t xml:space="preserve">                               </w:t>
      </w:r>
      <w:bookmarkStart w:id="0" w:name="_GoBack"/>
      <w:bookmarkEnd w:id="0"/>
      <w:r>
        <w:rPr>
          <w:rFonts w:hint="eastAsia" w:ascii="仿宋_GB2312" w:hAnsi="仿宋_GB2312" w:eastAsia="仿宋_GB2312" w:cs="仿宋_GB2312"/>
          <w:color w:val="auto"/>
          <w:kern w:val="0"/>
          <w:sz w:val="32"/>
          <w:szCs w:val="32"/>
          <w:shd w:val="clear" w:color="auto" w:fill="FFFFFF"/>
          <w:lang w:val="en-US" w:eastAsia="zh-CN" w:bidi="ar"/>
        </w:rPr>
        <w:t>2023年1月10日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OWEzOGRlN2NmZWI5MzI1MjZiMzA0MTY2ZWI0MmUifQ=="/>
  </w:docVars>
  <w:rsids>
    <w:rsidRoot w:val="00000000"/>
    <w:rsid w:val="0A165F4E"/>
    <w:rsid w:val="237B7723"/>
    <w:rsid w:val="24C40FF7"/>
    <w:rsid w:val="2E892307"/>
    <w:rsid w:val="4218528C"/>
    <w:rsid w:val="56D724B6"/>
    <w:rsid w:val="5F63B0CC"/>
    <w:rsid w:val="65774ECE"/>
    <w:rsid w:val="659A5C65"/>
    <w:rsid w:val="68B11F25"/>
    <w:rsid w:val="6C853147"/>
    <w:rsid w:val="720E0941"/>
    <w:rsid w:val="73EFE86C"/>
    <w:rsid w:val="76FF4813"/>
    <w:rsid w:val="777F05B8"/>
    <w:rsid w:val="77E77141"/>
    <w:rsid w:val="7A9F9100"/>
    <w:rsid w:val="7EEFA949"/>
    <w:rsid w:val="7EFAC099"/>
    <w:rsid w:val="7F7E9DF1"/>
    <w:rsid w:val="7F9F9F26"/>
    <w:rsid w:val="7FFF62AD"/>
    <w:rsid w:val="7FFF7BFA"/>
    <w:rsid w:val="9E2AE623"/>
    <w:rsid w:val="AF6FEB71"/>
    <w:rsid w:val="AF8723E5"/>
    <w:rsid w:val="BE5FFE98"/>
    <w:rsid w:val="BFAB5A00"/>
    <w:rsid w:val="BFCB895C"/>
    <w:rsid w:val="CF72E714"/>
    <w:rsid w:val="DBFE8748"/>
    <w:rsid w:val="DD7DE735"/>
    <w:rsid w:val="DDDFD754"/>
    <w:rsid w:val="DEFFA566"/>
    <w:rsid w:val="FF7F0DC9"/>
    <w:rsid w:val="FFBF9332"/>
    <w:rsid w:val="FFEFCAAB"/>
    <w:rsid w:val="FFFBE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2022-01-01T18:15:00Z</dcterms:created>
  <dc:creator>打工人</dc:creator>
  <cp:lastModifiedBy>念安～</cp:lastModifiedBy>
  <dcterms:modified xsi:type="dcterms:W3CDTF">2024-01-29T10:53:44Z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BB503E7EE73B4090873AEEE165710126</vt:lpwstr>
  </property>
</Properties>
</file>